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19BB25">
      <w:pPr>
        <w:jc w:val="center"/>
        <w:rPr>
          <w:rFonts w:hint="eastAsia" w:ascii="黑体" w:hAnsi="宋体" w:eastAsia="黑体"/>
          <w:b/>
          <w:bCs/>
          <w:kern w:val="0"/>
          <w:sz w:val="32"/>
          <w:szCs w:val="32"/>
          <w:lang w:val="zh-CN"/>
        </w:rPr>
      </w:pP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运动训练专业</w:t>
      </w:r>
      <w:r>
        <w:rPr>
          <w:rFonts w:hint="eastAsia" w:ascii="黑体" w:hAnsi="宋体" w:eastAsia="黑体"/>
          <w:b/>
          <w:bCs/>
          <w:kern w:val="0"/>
          <w:sz w:val="32"/>
          <w:szCs w:val="32"/>
          <w:lang w:val="zh-CN"/>
        </w:rPr>
        <w:t>20</w:t>
      </w:r>
      <w:r>
        <w:rPr>
          <w:rFonts w:hint="eastAsia" w:ascii="黑体" w:hAnsi="宋体" w:eastAsia="黑体"/>
          <w:b/>
          <w:bCs/>
          <w:kern w:val="0"/>
          <w:sz w:val="32"/>
          <w:szCs w:val="32"/>
          <w:lang w:val="en-US" w:eastAsia="zh-CN"/>
        </w:rPr>
        <w:t>25</w:t>
      </w:r>
      <w:r>
        <w:rPr>
          <w:rFonts w:hint="eastAsia" w:ascii="黑体" w:hAnsi="宋体" w:eastAsia="黑体"/>
          <w:b/>
          <w:bCs/>
          <w:kern w:val="0"/>
          <w:sz w:val="32"/>
          <w:szCs w:val="32"/>
          <w:lang w:val="zh-CN"/>
        </w:rPr>
        <w:t>年专升本羽毛球</w:t>
      </w:r>
      <w:r>
        <w:rPr>
          <w:rFonts w:hint="eastAsia" w:ascii="黑体" w:hAnsi="宋体" w:eastAsia="黑体"/>
          <w:b/>
          <w:bCs/>
          <w:kern w:val="0"/>
          <w:sz w:val="32"/>
          <w:szCs w:val="32"/>
          <w:lang w:val="en-US" w:eastAsia="zh-CN"/>
        </w:rPr>
        <w:t>项目</w:t>
      </w:r>
      <w:r>
        <w:rPr>
          <w:rFonts w:hint="eastAsia" w:ascii="黑体" w:hAnsi="宋体" w:eastAsia="黑体"/>
          <w:b/>
          <w:bCs/>
          <w:kern w:val="0"/>
          <w:sz w:val="32"/>
          <w:szCs w:val="32"/>
          <w:lang w:val="zh-CN"/>
        </w:rPr>
        <w:t>测试评分标准</w:t>
      </w:r>
    </w:p>
    <w:p w14:paraId="285866C7">
      <w:pPr>
        <w:jc w:val="both"/>
        <w:rPr>
          <w:rFonts w:hint="eastAsia" w:ascii="黑体" w:hAnsi="宋体" w:eastAsia="黑体"/>
          <w:kern w:val="0"/>
          <w:sz w:val="36"/>
          <w:szCs w:val="36"/>
          <w:lang w:val="zh-CN" w:eastAsia="zh-CN"/>
        </w:rPr>
      </w:pPr>
    </w:p>
    <w:p w14:paraId="6F200818">
      <w:pPr>
        <w:pStyle w:val="10"/>
        <w:numPr>
          <w:ilvl w:val="0"/>
          <w:numId w:val="1"/>
        </w:numPr>
        <w:spacing w:line="395" w:lineRule="exact"/>
        <w:ind w:left="0" w:leftChars="0" w:firstLine="0" w:firstLineChars="0"/>
        <w:rPr>
          <w:rFonts w:hint="eastAsia"/>
          <w:color w:val="3CB4E7"/>
          <w:lang w:val="en-US" w:eastAsia="zh-CN"/>
        </w:rPr>
      </w:pPr>
      <w:r>
        <w:rPr>
          <w:color w:val="3CB4E7"/>
          <w:lang w:eastAsia="zh-CN"/>
        </w:rPr>
        <w:t>考核指标与所占分值</w:t>
      </w:r>
      <w:r>
        <w:rPr>
          <w:rFonts w:hint="eastAsia"/>
          <w:color w:val="3CB4E7"/>
          <w:lang w:val="en-US" w:eastAsia="zh-CN"/>
        </w:rPr>
        <w:t>(总分100分)</w:t>
      </w:r>
    </w:p>
    <w:p w14:paraId="46CBDE89">
      <w:pPr>
        <w:spacing w:before="9"/>
        <w:rPr>
          <w:rFonts w:ascii="Arial Unicode MS" w:hAnsi="Arial Unicode MS" w:eastAsia="Arial Unicode MS" w:cs="Arial Unicode MS"/>
          <w:lang w:eastAsia="zh-CN"/>
        </w:rPr>
      </w:pPr>
      <w:bookmarkStart w:id="0" w:name="_GoBack"/>
      <w:bookmarkEnd w:id="0"/>
    </w:p>
    <w:tbl>
      <w:tblPr>
        <w:tblStyle w:val="8"/>
        <w:tblW w:w="743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1644"/>
        <w:gridCol w:w="1644"/>
        <w:gridCol w:w="1644"/>
        <w:gridCol w:w="1644"/>
      </w:tblGrid>
      <w:tr w14:paraId="581702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85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2C244B63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类  别</w:t>
            </w:r>
          </w:p>
        </w:tc>
        <w:tc>
          <w:tcPr>
            <w:tcW w:w="164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46A82D2D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专项素质</w:t>
            </w:r>
          </w:p>
        </w:tc>
        <w:tc>
          <w:tcPr>
            <w:tcW w:w="164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4C1DB1BE"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专项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技术</w:t>
            </w:r>
          </w:p>
        </w:tc>
        <w:tc>
          <w:tcPr>
            <w:tcW w:w="3288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44EEB86A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实战能力</w:t>
            </w:r>
          </w:p>
          <w:p w14:paraId="22B01F44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实战能力</w:t>
            </w:r>
          </w:p>
        </w:tc>
      </w:tr>
      <w:tr w14:paraId="0504A5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85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DC53873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考  核</w:t>
            </w:r>
          </w:p>
          <w:p w14:paraId="3C20F94B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指  标</w:t>
            </w:r>
          </w:p>
        </w:tc>
        <w:tc>
          <w:tcPr>
            <w:tcW w:w="164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C1D15C3"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前后左右移动</w:t>
            </w:r>
          </w:p>
        </w:tc>
        <w:tc>
          <w:tcPr>
            <w:tcW w:w="164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16E56FD"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后场技术</w:t>
            </w:r>
          </w:p>
        </w:tc>
        <w:tc>
          <w:tcPr>
            <w:tcW w:w="164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B6D954A"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比赛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成绩</w:t>
            </w:r>
          </w:p>
        </w:tc>
        <w:tc>
          <w:tcPr>
            <w:tcW w:w="164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7392723"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比赛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技、战术技评</w:t>
            </w:r>
          </w:p>
        </w:tc>
      </w:tr>
      <w:tr w14:paraId="17ED90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  <w:jc w:val="center"/>
        </w:trPr>
        <w:tc>
          <w:tcPr>
            <w:tcW w:w="85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6EBD2852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 值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2BF8C27D"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auto"/>
                <w:sz w:val="18"/>
                <w:szCs w:val="18"/>
                <w:lang w:val="en-US" w:eastAsia="zh-CN"/>
              </w:rPr>
              <w:t>20分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581F931D"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20分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68193870"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15629B40"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20分</w:t>
            </w:r>
          </w:p>
        </w:tc>
      </w:tr>
    </w:tbl>
    <w:p w14:paraId="705F84BF">
      <w:pPr>
        <w:spacing w:before="8"/>
        <w:rPr>
          <w:rFonts w:ascii="Arial Unicode MS" w:hAnsi="Arial Unicode MS" w:eastAsia="Arial Unicode MS" w:cs="Arial Unicode MS"/>
          <w:sz w:val="18"/>
          <w:szCs w:val="18"/>
        </w:rPr>
      </w:pPr>
    </w:p>
    <w:p w14:paraId="632AFCE0">
      <w:pPr>
        <w:numPr>
          <w:ilvl w:val="0"/>
          <w:numId w:val="1"/>
        </w:numPr>
        <w:spacing w:line="395" w:lineRule="exact"/>
        <w:ind w:left="0" w:leftChars="0" w:firstLine="0" w:firstLineChars="0"/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</w:pPr>
      <w:r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  <w:t>考试方法与评分标准</w:t>
      </w:r>
    </w:p>
    <w:p w14:paraId="21688F85">
      <w:pPr>
        <w:ind w:firstLine="480" w:firstLineChars="200"/>
        <w:rPr>
          <w:rFonts w:ascii="方正宋一简体" w:hAnsi="方正宋一简体" w:eastAsia="方正宋一简体" w:cs="方正宋一简体"/>
          <w:sz w:val="21"/>
          <w:szCs w:val="21"/>
          <w:lang w:eastAsia="zh-CN"/>
        </w:rPr>
      </w:pPr>
      <w:r>
        <w:rPr>
          <w:color w:val="231F20"/>
          <w:sz w:val="24"/>
          <w:szCs w:val="24"/>
        </w:rPr>
        <w:t>（</w:t>
      </w:r>
      <w:r>
        <w:rPr>
          <w:rFonts w:hint="eastAsia"/>
          <w:color w:val="231F20"/>
          <w:sz w:val="24"/>
          <w:szCs w:val="24"/>
          <w:lang w:val="en-US" w:eastAsia="zh-CN"/>
        </w:rPr>
        <w:t>一</w:t>
      </w:r>
      <w:r>
        <w:rPr>
          <w:color w:val="231F20"/>
          <w:sz w:val="24"/>
          <w:szCs w:val="24"/>
        </w:rPr>
        <w:t>）专项</w:t>
      </w:r>
      <w:r>
        <w:rPr>
          <w:rFonts w:hint="eastAsia"/>
          <w:color w:val="231F20"/>
          <w:sz w:val="24"/>
          <w:szCs w:val="24"/>
          <w:lang w:val="en-US" w:eastAsia="zh-CN"/>
        </w:rPr>
        <w:t>素质</w:t>
      </w:r>
      <w:r>
        <w:rPr>
          <w:rFonts w:hint="eastAsia"/>
          <w:color w:val="231F20"/>
          <w:sz w:val="24"/>
          <w:szCs w:val="24"/>
          <w:lang w:eastAsia="zh-CN"/>
        </w:rPr>
        <w:t>（</w:t>
      </w:r>
      <w:r>
        <w:rPr>
          <w:rFonts w:hint="eastAsia" w:ascii="Arial Unicode MS" w:hAnsi="Arial Unicode MS" w:eastAsia="Arial Unicode MS" w:cstheme="minorBidi"/>
          <w:color w:val="231F20"/>
          <w:sz w:val="24"/>
          <w:szCs w:val="24"/>
          <w:lang w:val="en-US" w:eastAsia="zh-CN" w:bidi="ar-SA"/>
        </w:rPr>
        <w:t>20</w:t>
      </w:r>
      <w:r>
        <w:rPr>
          <w:rFonts w:hint="eastAsia"/>
          <w:color w:val="231F20"/>
          <w:sz w:val="24"/>
          <w:szCs w:val="24"/>
          <w:lang w:val="en-US" w:eastAsia="zh-CN"/>
        </w:rPr>
        <w:t>分</w:t>
      </w:r>
      <w:r>
        <w:rPr>
          <w:rFonts w:hint="eastAsia"/>
          <w:color w:val="231F20"/>
          <w:sz w:val="24"/>
          <w:szCs w:val="24"/>
          <w:lang w:eastAsia="zh-CN"/>
        </w:rPr>
        <w:t>）</w:t>
      </w:r>
    </w:p>
    <w:p w14:paraId="20D55941">
      <w:pPr>
        <w:pStyle w:val="12"/>
        <w:ind w:left="0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前后左右移动</w:t>
      </w:r>
    </w:p>
    <w:p w14:paraId="0DAD04B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00" w:lineRule="auto"/>
        <w:ind w:left="0" w:right="0" w:firstLine="420" w:firstLineChars="200"/>
        <w:jc w:val="both"/>
        <w:textAlignment w:val="auto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）考试方法：考生站在起点处（场地中线和底线交叉点后），听到“预备-跑”口令（计时开始），沿着中线采用直线上网步法，持拍手触网顶白线后，直线后退踩底线为完成1次前后移动，反复进行5次。</w:t>
      </w:r>
    </w:p>
    <w:p w14:paraId="727C940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00" w:lineRule="auto"/>
        <w:ind w:left="0" w:right="0" w:firstLine="420" w:firstLineChars="200"/>
        <w:jc w:val="both"/>
        <w:textAlignment w:val="auto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当第5次回到底线，脚踩底线同时，从中线开始，采用向左右两侧移动的步法至场地右侧单打边线处，用持拍手触拨单打边线上的羽毛球，然后用向左侧移动的步法至场地左侧单打边线处，用持拍手触拨单打边线上的羽毛球，转身面向球网（左手持拍者在右侧触拨球时转身），继续向反方向进行下一次移动，反复进行5次。当完成最后一球触拨后回到中线踩线计时停止，记录完成的时间。</w:t>
      </w:r>
    </w:p>
    <w:p w14:paraId="229F01B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00" w:lineRule="auto"/>
        <w:ind w:left="0" w:right="0" w:firstLine="428" w:firstLineChars="200"/>
        <w:jc w:val="both"/>
        <w:textAlignment w:val="auto"/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 xml:space="preserve">如图1所示（图中三角形为放置在单打边线上的羽毛球）。 </w:t>
      </w:r>
    </w:p>
    <w:p w14:paraId="0ACA605D">
      <w:pPr>
        <w:spacing w:line="200" w:lineRule="atLeast"/>
        <w:jc w:val="center"/>
        <w:rPr>
          <w:rFonts w:ascii="方正宋一简体" w:hAnsi="方正宋一简体" w:eastAsia="方正宋一简体" w:cs="方正宋一简体"/>
          <w:sz w:val="19"/>
          <w:szCs w:val="19"/>
        </w:rPr>
      </w:pPr>
      <w:r>
        <w:rPr>
          <w:rFonts w:ascii="方正宋一简体" w:hAnsi="方正宋一简体" w:eastAsia="方正宋一简体" w:cs="方正宋一简体"/>
          <w:sz w:val="20"/>
          <w:szCs w:val="20"/>
          <w:lang w:eastAsia="zh-CN"/>
        </w:rPr>
        <w:drawing>
          <wp:inline distT="0" distB="0" distL="0" distR="0">
            <wp:extent cx="3170555" cy="2587625"/>
            <wp:effectExtent l="0" t="0" r="10795" b="3175"/>
            <wp:docPr id="2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3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0555" cy="258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04F334">
      <w:pPr>
        <w:spacing w:before="19"/>
        <w:ind w:right="2330"/>
        <w:jc w:val="center"/>
        <w:rPr>
          <w:rFonts w:hint="eastAsia" w:ascii="宋体" w:hAnsi="宋体" w:eastAsia="宋体" w:cs="宋体"/>
          <w:color w:val="231F2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color w:val="231F20"/>
          <w:sz w:val="18"/>
          <w:szCs w:val="18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color w:val="231F20"/>
          <w:sz w:val="18"/>
          <w:szCs w:val="18"/>
          <w:lang w:eastAsia="zh-CN"/>
        </w:rPr>
        <w:t>图 1</w:t>
      </w:r>
      <w:r>
        <w:rPr>
          <w:rFonts w:hint="eastAsia" w:ascii="宋体" w:hAnsi="宋体" w:eastAsia="宋体" w:cs="宋体"/>
          <w:color w:val="231F20"/>
          <w:spacing w:val="-1"/>
          <w:sz w:val="18"/>
          <w:szCs w:val="18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18"/>
          <w:szCs w:val="18"/>
          <w:lang w:eastAsia="zh-CN"/>
        </w:rPr>
        <w:t>前后左右移动示意图</w:t>
      </w:r>
    </w:p>
    <w:p w14:paraId="7E53348A">
      <w:pPr>
        <w:pStyle w:val="3"/>
        <w:spacing w:line="300" w:lineRule="auto"/>
        <w:ind w:left="0" w:right="115" w:firstLine="428" w:firstLineChars="200"/>
        <w:jc w:val="both"/>
        <w:rPr>
          <w:rFonts w:ascii="宋体" w:hAnsi="宋体" w:eastAsia="宋体" w:cs="宋体"/>
          <w:color w:val="231F20"/>
          <w:spacing w:val="2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考生如前后移动未踩线和触网，视为违例，应重新踩线或触网才能继续完成后面的测试；移动时未触拨到球，或在左（右）侧场区边线触拨球后没有转体面向球网的，视为违例，应重新触拨球或回到边线处转体面向球网才能继续完成后面的测试。</w:t>
      </w:r>
    </w:p>
    <w:p w14:paraId="375E71A6">
      <w:pPr>
        <w:pStyle w:val="3"/>
        <w:spacing w:before="17"/>
        <w:ind w:left="0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）评分标准：见表1。</w:t>
      </w:r>
    </w:p>
    <w:p w14:paraId="08AEF38E">
      <w:pPr>
        <w:pStyle w:val="3"/>
        <w:spacing w:before="0"/>
        <w:ind w:left="421"/>
        <w:jc w:val="center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表 1  前后左右移动评分表</w:t>
      </w:r>
    </w:p>
    <w:tbl>
      <w:tblPr>
        <w:tblStyle w:val="8"/>
        <w:tblW w:w="80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1537"/>
        <w:gridCol w:w="1538"/>
        <w:gridCol w:w="865"/>
        <w:gridCol w:w="1637"/>
        <w:gridCol w:w="1638"/>
      </w:tblGrid>
      <w:tr w14:paraId="562AA3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884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 w14:paraId="114A8D36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3075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44CB5F12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</w:t>
            </w:r>
          </w:p>
        </w:tc>
        <w:tc>
          <w:tcPr>
            <w:tcW w:w="865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 w14:paraId="49616355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3275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1C6157AF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</w:t>
            </w:r>
          </w:p>
        </w:tc>
      </w:tr>
      <w:tr w14:paraId="6E74AF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884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5A8A4B2F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2AA88547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538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785A5B23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  <w:tc>
          <w:tcPr>
            <w:tcW w:w="865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3AA3454B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637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5CAE2257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638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5F32BE6C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</w:tr>
      <w:tr w14:paraId="1F0D21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88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17C2A9B"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53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0C5C35C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53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5B985D9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86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ADF4CCD"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3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E148249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63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12CF126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</w:tr>
      <w:tr w14:paraId="53560B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C251A5F"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BB6838D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B65F7AF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0F967B4"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7234F8C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01BA4CC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</w:tr>
      <w:tr w14:paraId="3085CE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2639090"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61C5456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AB3A7B1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0F97557"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8FE7D56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1267B2A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</w:tr>
      <w:tr w14:paraId="510BB9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8533E4D"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8E53981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67738F8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C17547E"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E68A450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8AF5F90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</w:tr>
      <w:tr w14:paraId="629667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  <w:jc w:val="center"/>
        </w:trPr>
        <w:tc>
          <w:tcPr>
            <w:tcW w:w="88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7B813A9"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BC7EFC2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53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C2A194C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A26EE6F"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59474F1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5DB05AE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</w:tr>
      <w:tr w14:paraId="0EF568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88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94D75B8"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3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880C1AC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53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26D7E94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86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361FA19"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3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69E2116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63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07F3183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</w:tr>
      <w:tr w14:paraId="470893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6334FF0"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0C8B43E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8AB74C8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0B3A9DA"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B2438A5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F496417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</w:tr>
      <w:tr w14:paraId="2BD15D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09805B8"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9677AA2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A6B7B29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1A5F50C"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7AD6457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A82F1C8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</w:tr>
      <w:tr w14:paraId="60BF27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EDD534B"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E141C3F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48B8D11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9BCDF15"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C6E6B2A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A7D2FDB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</w:tr>
      <w:tr w14:paraId="647232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  <w:jc w:val="center"/>
        </w:trPr>
        <w:tc>
          <w:tcPr>
            <w:tcW w:w="88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7C75C988"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77D53E71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538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78F6CE41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59CAA847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4FE03C73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4FE55067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</w:tr>
    </w:tbl>
    <w:p w14:paraId="2D41FB6A">
      <w:pPr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注：男子用时在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44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"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以上，女子在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47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"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以上，计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0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分。</w:t>
      </w:r>
    </w:p>
    <w:p w14:paraId="50AD562A">
      <w:pPr>
        <w:pStyle w:val="12"/>
        <w:spacing w:line="332" w:lineRule="exact"/>
        <w:ind w:left="507" w:hanging="57"/>
        <w:rPr>
          <w:color w:val="231F20"/>
          <w:sz w:val="24"/>
          <w:szCs w:val="24"/>
        </w:rPr>
      </w:pPr>
    </w:p>
    <w:p w14:paraId="572E1E08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07" w:hanging="57"/>
        <w:textAlignment w:val="auto"/>
        <w:rPr>
          <w:rFonts w:hint="default" w:ascii="宋体" w:hAnsi="宋体" w:eastAsia="宋体" w:cs="宋体"/>
          <w:color w:val="231F20"/>
          <w:sz w:val="21"/>
          <w:szCs w:val="21"/>
          <w:lang w:val="en-US" w:eastAsia="zh-CN"/>
        </w:rPr>
      </w:pPr>
      <w:r>
        <w:rPr>
          <w:color w:val="231F20"/>
          <w:sz w:val="24"/>
          <w:szCs w:val="24"/>
        </w:rPr>
        <w:t>（</w:t>
      </w:r>
      <w:r>
        <w:rPr>
          <w:rFonts w:hint="eastAsia"/>
          <w:color w:val="231F20"/>
          <w:sz w:val="24"/>
          <w:szCs w:val="24"/>
          <w:lang w:val="en-US" w:eastAsia="zh-CN"/>
        </w:rPr>
        <w:t>二</w:t>
      </w:r>
      <w:r>
        <w:rPr>
          <w:color w:val="231F20"/>
          <w:sz w:val="24"/>
          <w:szCs w:val="24"/>
        </w:rPr>
        <w:t>）专项技术</w:t>
      </w:r>
      <w:r>
        <w:rPr>
          <w:rFonts w:hint="eastAsia"/>
          <w:color w:val="231F20"/>
          <w:sz w:val="24"/>
          <w:szCs w:val="24"/>
          <w:lang w:eastAsia="zh-CN"/>
        </w:rPr>
        <w:t>（</w:t>
      </w:r>
      <w:r>
        <w:rPr>
          <w:rFonts w:hint="eastAsia"/>
          <w:color w:val="231F20"/>
          <w:sz w:val="24"/>
          <w:szCs w:val="24"/>
          <w:lang w:val="en-US" w:eastAsia="zh-CN"/>
        </w:rPr>
        <w:t>20分</w:t>
      </w:r>
      <w:r>
        <w:rPr>
          <w:rFonts w:hint="eastAsia"/>
          <w:color w:val="231F20"/>
          <w:sz w:val="24"/>
          <w:szCs w:val="24"/>
          <w:lang w:eastAsia="zh-CN"/>
        </w:rPr>
        <w:t>）</w:t>
      </w:r>
    </w:p>
    <w:p w14:paraId="6CE44D0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240" w:lineRule="auto"/>
        <w:ind w:left="0" w:leftChars="0" w:right="0" w:firstLine="630" w:firstLineChars="3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. 后场技术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20分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正手或头顶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直线高远球）</w:t>
      </w:r>
    </w:p>
    <w:p w14:paraId="360B9CA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/>
        <w:ind w:left="0" w:leftChars="0" w:righ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（1）考试方法：</w:t>
      </w:r>
    </w:p>
    <w:p w14:paraId="4B7FD44B">
      <w:pPr>
        <w:pStyle w:val="3"/>
        <w:spacing w:line="300" w:lineRule="auto"/>
        <w:ind w:left="0" w:right="115" w:firstLine="428" w:firstLineChars="200"/>
        <w:jc w:val="both"/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val="en-US" w:eastAsia="zh-CN"/>
        </w:rPr>
        <w:t>后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场区击球（共1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个球）：由考评员发高远球，考生站在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val="en-US" w:eastAsia="zh-CN"/>
        </w:rPr>
        <w:t>后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场区双打后发球线前，运用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val="en-US" w:eastAsia="zh-CN"/>
        </w:rPr>
        <w:t>正手或头顶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高远球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val="en-US" w:eastAsia="zh-CN"/>
        </w:rPr>
        <w:t>技术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将球击到指定的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val="en-US" w:eastAsia="zh-CN"/>
        </w:rPr>
        <w:t>C或D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区域内。如图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所示。</w:t>
      </w:r>
    </w:p>
    <w:p w14:paraId="6A3738CC">
      <w:pPr>
        <w:pStyle w:val="3"/>
        <w:spacing w:line="300" w:lineRule="auto"/>
        <w:ind w:left="0" w:right="115" w:firstLine="400" w:firstLineChars="200"/>
        <w:jc w:val="both"/>
        <w:rPr>
          <w:rFonts w:ascii="方正宋三简体" w:hAnsi="方正宋三简体" w:eastAsia="方正宋三简体" w:cs="方正宋三简体"/>
          <w:sz w:val="29"/>
          <w:szCs w:val="29"/>
          <w:lang w:eastAsia="zh-CN"/>
        </w:rPr>
      </w:pPr>
      <w:r>
        <w:rPr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3269615</wp:posOffset>
            </wp:positionH>
            <wp:positionV relativeFrom="paragraph">
              <wp:posOffset>529590</wp:posOffset>
            </wp:positionV>
            <wp:extent cx="1064895" cy="2028190"/>
            <wp:effectExtent l="0" t="0" r="1905" b="10160"/>
            <wp:wrapNone/>
            <wp:docPr id="491" name="图片 420" descr="C:\Users\Administrator\Desktop\图片2.jp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" name="图片 420" descr="C:\Users\Administrator\Desktop\图片2.jpg图片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4895" cy="202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考生在双打后发球线前准备击球。落点必须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val="en-US" w:eastAsia="zh-CN"/>
        </w:rPr>
        <w:t>落在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面积为1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cm×1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cm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val="en-US" w:eastAsia="zh-CN"/>
        </w:rPr>
        <w:t>内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，必须在测试前提前选择落点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 xml:space="preserve"> 区域，考评员发球后考生可以选择起跳或原地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val="en-US" w:eastAsia="zh-CN"/>
        </w:rPr>
        <w:t>击高远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球。</w:t>
      </w:r>
    </w:p>
    <w:p w14:paraId="7C750894">
      <w:pPr>
        <w:spacing w:before="13"/>
        <w:jc w:val="center"/>
        <w:rPr>
          <w:rFonts w:ascii="方正宋三简体" w:hAnsi="方正宋三简体" w:eastAsia="方正宋三简体" w:cs="方正宋三简体"/>
          <w:sz w:val="29"/>
          <w:szCs w:val="29"/>
          <w:lang w:eastAsia="zh-CN"/>
        </w:rPr>
      </w:pPr>
    </w:p>
    <w:p w14:paraId="7D4383A8">
      <w:pPr>
        <w:spacing w:before="13"/>
        <w:rPr>
          <w:rFonts w:ascii="方正宋三简体" w:hAnsi="方正宋三简体" w:eastAsia="方正宋三简体" w:cs="方正宋三简体"/>
          <w:sz w:val="29"/>
          <w:szCs w:val="29"/>
          <w:lang w:eastAsia="zh-CN"/>
        </w:rPr>
      </w:pPr>
    </w:p>
    <w:p w14:paraId="504AA74E">
      <w:pPr>
        <w:spacing w:before="13"/>
        <w:rPr>
          <w:rFonts w:ascii="方正宋三简体" w:hAnsi="方正宋三简体" w:eastAsia="方正宋三简体" w:cs="方正宋三简体"/>
          <w:sz w:val="29"/>
          <w:szCs w:val="29"/>
          <w:lang w:eastAsia="zh-CN"/>
        </w:rPr>
      </w:pPr>
    </w:p>
    <w:p w14:paraId="5F589DFE">
      <w:pPr>
        <w:spacing w:before="13"/>
        <w:rPr>
          <w:rFonts w:ascii="方正宋三简体" w:hAnsi="方正宋三简体" w:eastAsia="方正宋三简体" w:cs="方正宋三简体"/>
          <w:sz w:val="29"/>
          <w:szCs w:val="29"/>
          <w:lang w:eastAsia="zh-CN"/>
        </w:rPr>
      </w:pPr>
    </w:p>
    <w:p w14:paraId="6AA0E450">
      <w:pPr>
        <w:tabs>
          <w:tab w:val="left" w:pos="4948"/>
        </w:tabs>
        <w:ind w:firstLine="5460" w:firstLineChars="2600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 w14:paraId="042D266F">
      <w:pPr>
        <w:tabs>
          <w:tab w:val="left" w:pos="4948"/>
        </w:tabs>
        <w:jc w:val="center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 w14:paraId="2C7CE83B">
      <w:pPr>
        <w:tabs>
          <w:tab w:val="left" w:pos="4948"/>
        </w:tabs>
        <w:jc w:val="center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 xml:space="preserve">图 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 xml:space="preserve">2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后场技术示意图</w:t>
      </w:r>
    </w:p>
    <w:p w14:paraId="4AD0AE39">
      <w:pPr>
        <w:pStyle w:val="3"/>
        <w:spacing w:before="0"/>
        <w:ind w:left="0" w:leftChars="0" w:firstLine="420" w:firstLineChars="200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（2）评分标准：见表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val="en-US" w:eastAsia="zh-CN"/>
        </w:rPr>
        <w:t>2、表3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。</w:t>
      </w:r>
    </w:p>
    <w:p w14:paraId="1C623479">
      <w:pPr>
        <w:pStyle w:val="3"/>
        <w:ind w:left="2451" w:right="2542"/>
        <w:jc w:val="center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表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 xml:space="preserve">  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后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场技术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效果得分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评分表</w:t>
      </w:r>
    </w:p>
    <w:tbl>
      <w:tblPr>
        <w:tblStyle w:val="8"/>
        <w:tblW w:w="8326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"/>
        <w:gridCol w:w="1950"/>
        <w:gridCol w:w="6"/>
        <w:gridCol w:w="2477"/>
        <w:gridCol w:w="7"/>
        <w:gridCol w:w="1924"/>
        <w:gridCol w:w="1948"/>
        <w:gridCol w:w="7"/>
      </w:tblGrid>
      <w:tr w14:paraId="78036F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387" w:hRule="exact"/>
        </w:trPr>
        <w:tc>
          <w:tcPr>
            <w:tcW w:w="195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23A10BE9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2490" w:type="dxa"/>
            <w:gridSpan w:val="3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32B57F43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成绩（个）</w:t>
            </w:r>
          </w:p>
        </w:tc>
        <w:tc>
          <w:tcPr>
            <w:tcW w:w="192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31B0C7DB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955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0CDABE74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成绩（个）</w:t>
            </w:r>
          </w:p>
        </w:tc>
      </w:tr>
      <w:tr w14:paraId="722909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409" w:hRule="exact"/>
        </w:trPr>
        <w:tc>
          <w:tcPr>
            <w:tcW w:w="195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F3B1E8A"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490" w:type="dxa"/>
            <w:gridSpan w:val="3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586AE3A"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10个以上（含10个）</w:t>
            </w:r>
          </w:p>
          <w:p w14:paraId="069FBF59"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</w:p>
        </w:tc>
        <w:tc>
          <w:tcPr>
            <w:tcW w:w="192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F2F2BD9"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55" w:type="dxa"/>
            <w:gridSpan w:val="2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756B2E8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</w:t>
            </w:r>
          </w:p>
        </w:tc>
      </w:tr>
      <w:tr w14:paraId="3AD483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" w:type="dxa"/>
          <w:trHeight w:val="379" w:hRule="exact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605C6CB"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2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7607154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5C52497"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6760470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</w:t>
            </w:r>
          </w:p>
        </w:tc>
      </w:tr>
      <w:tr w14:paraId="4A12CB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14" w:hRule="exact"/>
        </w:trPr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333AE53"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C76B484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D03AF68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F5FCCA9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</w:t>
            </w:r>
          </w:p>
        </w:tc>
      </w:tr>
      <w:tr w14:paraId="6E225D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397" w:hRule="exact"/>
        </w:trPr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4227605"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DA5DE50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247662F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2C5BB53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</w:t>
            </w:r>
          </w:p>
        </w:tc>
      </w:tr>
      <w:tr w14:paraId="37573E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382" w:hRule="exact"/>
        </w:trPr>
        <w:tc>
          <w:tcPr>
            <w:tcW w:w="1963" w:type="dxa"/>
            <w:gridSpan w:val="3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46EDDC37"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47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FDF85DC"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50DCA269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94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285F505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</w:p>
        </w:tc>
      </w:tr>
    </w:tbl>
    <w:p w14:paraId="4F169CD6">
      <w:pPr>
        <w:pStyle w:val="3"/>
        <w:spacing w:before="10"/>
        <w:ind w:left="0" w:leftChars="0" w:right="2420" w:firstLine="0" w:firstLineChars="0"/>
        <w:jc w:val="both"/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</w:pPr>
    </w:p>
    <w:p w14:paraId="1BAEC06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/>
        <w:ind w:left="0" w:leftChars="0" w:right="0" w:firstLine="0" w:firstLineChars="0"/>
        <w:jc w:val="center"/>
        <w:textAlignment w:val="auto"/>
        <w:rPr>
          <w:rFonts w:hint="default" w:ascii="宋体" w:hAnsi="宋体" w:eastAsia="宋体" w:cs="宋体"/>
          <w:color w:val="231F2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表3  后场技术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技评评分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表</w:t>
      </w:r>
    </w:p>
    <w:tbl>
      <w:tblPr>
        <w:tblStyle w:val="8"/>
        <w:tblW w:w="8333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9"/>
        <w:gridCol w:w="5684"/>
      </w:tblGrid>
      <w:tr w14:paraId="4F446D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2649" w:type="dxa"/>
            <w:tcBorders>
              <w:top w:val="single" w:color="3CB4E7" w:sz="12" w:space="0"/>
              <w:left w:val="nil"/>
              <w:bottom w:val="single" w:color="3CB4E7" w:sz="2" w:space="0"/>
              <w:right w:val="nil"/>
            </w:tcBorders>
            <w:shd w:val="clear" w:color="auto" w:fill="B7DBF4"/>
            <w:vAlign w:val="center"/>
          </w:tcPr>
          <w:p w14:paraId="2400EAAB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等级（分值范围）</w:t>
            </w:r>
          </w:p>
        </w:tc>
        <w:tc>
          <w:tcPr>
            <w:tcW w:w="5684" w:type="dxa"/>
            <w:tcBorders>
              <w:top w:val="single" w:color="3CB4E7" w:sz="12" w:space="0"/>
              <w:left w:val="nil"/>
              <w:bottom w:val="single" w:color="3CB4E7" w:sz="2" w:space="0"/>
              <w:right w:val="nil"/>
            </w:tcBorders>
            <w:shd w:val="clear" w:color="auto" w:fill="B7DBF4"/>
            <w:vAlign w:val="center"/>
          </w:tcPr>
          <w:p w14:paraId="40B6E76A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评价标准</w:t>
            </w:r>
          </w:p>
        </w:tc>
      </w:tr>
      <w:tr w14:paraId="26685C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</w:trPr>
        <w:tc>
          <w:tcPr>
            <w:tcW w:w="264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A5481EC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优（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分）</w:t>
            </w:r>
          </w:p>
        </w:tc>
        <w:tc>
          <w:tcPr>
            <w:tcW w:w="568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6E4750C">
            <w:pPr>
              <w:pStyle w:val="11"/>
              <w:spacing w:line="270" w:lineRule="auto"/>
              <w:ind w:right="201"/>
              <w:jc w:val="both"/>
              <w:rPr>
                <w:rFonts w:hint="default" w:ascii="方正宋三简体" w:hAnsi="方正宋三简体" w:cs="方正宋三简体" w:eastAsiaTheme="minorEastAsia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动作正确，协调、连贯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、落点准确、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效果好。</w:t>
            </w:r>
          </w:p>
        </w:tc>
      </w:tr>
      <w:tr w14:paraId="577776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D86A046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良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7.5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)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DB6C335">
            <w:pPr>
              <w:pStyle w:val="11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动作正确，协调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、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连贯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、落点准确、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效果较好。</w:t>
            </w:r>
          </w:p>
        </w:tc>
      </w:tr>
      <w:tr w14:paraId="74391C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A20249A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中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7.4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)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CCB8620">
            <w:pPr>
              <w:pStyle w:val="11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动作基本正确，协调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、落点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较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准确、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效果一般。</w:t>
            </w:r>
          </w:p>
        </w:tc>
      </w:tr>
      <w:tr w14:paraId="61F83E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264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6B10473D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差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分以下 )</w:t>
            </w:r>
          </w:p>
        </w:tc>
        <w:tc>
          <w:tcPr>
            <w:tcW w:w="568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1410C532">
            <w:pPr>
              <w:pStyle w:val="11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动作不正确，不协调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、落点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不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准确、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效果较差。</w:t>
            </w:r>
          </w:p>
        </w:tc>
      </w:tr>
    </w:tbl>
    <w:p w14:paraId="62F6BAF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color w:val="231F20"/>
          <w:sz w:val="24"/>
          <w:szCs w:val="24"/>
          <w:lang w:eastAsia="zh-CN"/>
        </w:rPr>
      </w:pPr>
    </w:p>
    <w:p w14:paraId="464F704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40" w:firstLineChars="100"/>
        <w:textAlignment w:val="auto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  <w:r>
        <w:rPr>
          <w:rFonts w:hint="eastAsia"/>
          <w:color w:val="231F20"/>
          <w:sz w:val="24"/>
          <w:szCs w:val="24"/>
          <w:lang w:eastAsia="zh-CN"/>
        </w:rPr>
        <w:t>（</w:t>
      </w:r>
      <w:r>
        <w:rPr>
          <w:rFonts w:hint="eastAsia"/>
          <w:color w:val="231F20"/>
          <w:sz w:val="24"/>
          <w:szCs w:val="24"/>
          <w:lang w:val="en-US" w:eastAsia="zh-CN"/>
        </w:rPr>
        <w:t>三</w:t>
      </w:r>
      <w:r>
        <w:rPr>
          <w:rFonts w:hint="eastAsia"/>
          <w:color w:val="231F20"/>
          <w:sz w:val="24"/>
          <w:szCs w:val="24"/>
          <w:lang w:eastAsia="zh-CN"/>
        </w:rPr>
        <w:t>）</w:t>
      </w:r>
      <w:r>
        <w:rPr>
          <w:color w:val="231F20"/>
          <w:sz w:val="24"/>
          <w:szCs w:val="24"/>
          <w:lang w:eastAsia="zh-CN"/>
        </w:rPr>
        <w:t>实战能力</w:t>
      </w:r>
      <w:r>
        <w:rPr>
          <w:rFonts w:hint="eastAsia"/>
          <w:color w:val="231F20"/>
          <w:sz w:val="24"/>
          <w:szCs w:val="24"/>
          <w:lang w:val="en-US" w:eastAsia="zh-CN"/>
        </w:rPr>
        <w:t>---</w:t>
      </w:r>
      <w:r>
        <w:rPr>
          <w:rFonts w:hint="eastAsia"/>
          <w:color w:val="231F20"/>
          <w:sz w:val="24"/>
          <w:szCs w:val="24"/>
          <w:lang w:eastAsia="zh-CN"/>
        </w:rPr>
        <w:t>比赛成绩</w:t>
      </w:r>
      <w:r>
        <w:rPr>
          <w:rFonts w:hint="eastAsia"/>
          <w:color w:val="231F20"/>
          <w:sz w:val="24"/>
          <w:szCs w:val="24"/>
          <w:lang w:val="en-US" w:eastAsia="zh-CN"/>
        </w:rPr>
        <w:t>(40分)</w:t>
      </w:r>
    </w:p>
    <w:p w14:paraId="641E6EA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" w:line="288" w:lineRule="auto"/>
        <w:ind w:left="0" w:leftChars="0" w:right="0" w:firstLine="420" w:firstLineChars="200"/>
        <w:textAlignment w:val="auto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1.考试方法：分别组织男女考生进行比赛。赛制一局 ,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分每球得分，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分交换场地，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14平后需赢2分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才能获胜 (最高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21分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 xml:space="preserve"> )。</w:t>
      </w:r>
    </w:p>
    <w:p w14:paraId="60DA20C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" w:line="288" w:lineRule="auto"/>
        <w:ind w:left="0" w:leftChars="0" w:righ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(1)6人（含）以内进行单循环赛，决出全部名次。考生的上场顺序由抽签决定。</w:t>
      </w:r>
    </w:p>
    <w:p w14:paraId="613ADFF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(2)6人以上采用阶段赛方法，第一阶段分组循环赛，第二阶段淘汰赛。 第一阶段：7至12人分为两组，12人以上分为四组。</w:t>
      </w:r>
    </w:p>
    <w:p w14:paraId="1C3DAF5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" w:line="288" w:lineRule="auto"/>
        <w:ind w:left="0" w:leftChars="0" w:right="0" w:firstLine="432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分组方法：按运动技术等级高低排序，等级高者先抽签确定签位，下一级别考生的起始签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位根据上一级别签位确定。例，运动健将2人，抽签先确定1、2号签位；一级运动员3人，起始签位从3号开始，抽签确定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3,4,5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号签位；二级运动员起始签位从6号开始。以此类推。签位确定后，按蛇形排列方法进行分组。</w:t>
      </w:r>
    </w:p>
    <w:p w14:paraId="3707BC0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" w:line="288" w:lineRule="auto"/>
        <w:ind w:left="0" w:leftChars="0" w:right="0" w:firstLine="424" w:firstLineChars="200"/>
        <w:textAlignment w:val="auto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1"/>
          <w:sz w:val="21"/>
          <w:szCs w:val="21"/>
          <w:lang w:eastAsia="zh-CN"/>
        </w:rPr>
        <w:t>第二阶段：7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至12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人决出小组名次后，进行交叉淘汰决出全部名次。第一组第一对阵第二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组第二。第二组第一对阵第一组第二。以此类推。12</w:t>
      </w:r>
      <w:r>
        <w:rPr>
          <w:rFonts w:hint="eastAsia" w:ascii="宋体" w:hAnsi="宋体" w:eastAsia="宋体" w:cs="宋体"/>
          <w:color w:val="231F20"/>
          <w:spacing w:val="1"/>
          <w:sz w:val="21"/>
          <w:szCs w:val="21"/>
          <w:lang w:eastAsia="zh-CN"/>
        </w:rPr>
        <w:t>人以上决出小组名次后，进行交叉淘汰决出全部名次。第一组第一对阵第三组第二。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第二组第一对阵第四组第二。以此类推。其他内容参照中国羽毛球协会审定的羽毛球竞赛规则执行。</w:t>
      </w:r>
    </w:p>
    <w:p w14:paraId="47E1B19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" w:line="288" w:lineRule="auto"/>
        <w:ind w:left="0" w:leftChars="0" w:right="0" w:firstLine="420" w:firstLineChars="200"/>
        <w:textAlignment w:val="auto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评分标准：</w:t>
      </w:r>
    </w:p>
    <w:p w14:paraId="38E9A48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" w:line="288" w:lineRule="auto"/>
        <w:ind w:left="0" w:leftChars="0" w:right="0" w:firstLine="420" w:firstLineChars="200"/>
        <w:textAlignment w:val="auto"/>
        <w:rPr>
          <w:rFonts w:hint="eastAsia"/>
          <w:color w:val="231F2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 xml:space="preserve">比赛成绩  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231F20"/>
            <w:sz w:val="21"/>
            <w:szCs w:val="21"/>
            <w:lang w:eastAsia="zh-CN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color w:val="231F20"/>
                <w:sz w:val="21"/>
                <w:szCs w:val="21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231F20"/>
                <w:sz w:val="21"/>
                <w:szCs w:val="21"/>
                <w:lang w:eastAsia="zh-CN"/>
              </w:rPr>
              <m:t>N−R+1</m:t>
            </m:r>
            <m:ctrlPr>
              <w:rPr>
                <w:rFonts w:hint="eastAsia" w:ascii="Cambria Math" w:hAnsi="Cambria Math" w:eastAsia="宋体" w:cs="宋体"/>
                <w:color w:val="231F20"/>
                <w:sz w:val="21"/>
                <w:szCs w:val="21"/>
                <w:lang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231F20"/>
                <w:sz w:val="21"/>
                <w:szCs w:val="21"/>
                <w:lang w:eastAsia="zh-CN"/>
              </w:rPr>
              <m:t>N</m:t>
            </m:r>
            <m:ctrlPr>
              <w:rPr>
                <w:rFonts w:hint="eastAsia" w:ascii="Cambria Math" w:hAnsi="Cambria Math" w:eastAsia="宋体" w:cs="宋体"/>
                <w:color w:val="231F20"/>
                <w:sz w:val="21"/>
                <w:szCs w:val="21"/>
                <w:lang w:eastAsia="zh-CN"/>
              </w:rPr>
            </m:ctrlPr>
          </m:den>
        </m:f>
      </m:oMath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 xml:space="preserve"> ×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+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25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，其中N为该专项考试人数，R为比赛名次。</w:t>
      </w:r>
    </w:p>
    <w:p w14:paraId="68BFBAF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80" w:firstLineChars="200"/>
        <w:textAlignment w:val="auto"/>
        <w:rPr>
          <w:rFonts w:hint="eastAsia"/>
          <w:color w:val="231F20"/>
          <w:sz w:val="24"/>
          <w:szCs w:val="24"/>
          <w:lang w:eastAsia="zh-CN"/>
        </w:rPr>
      </w:pPr>
      <w:r>
        <w:rPr>
          <w:rFonts w:hint="eastAsia"/>
          <w:color w:val="231F20"/>
          <w:sz w:val="24"/>
          <w:szCs w:val="24"/>
          <w:lang w:eastAsia="zh-CN"/>
        </w:rPr>
        <w:t>（</w:t>
      </w:r>
      <w:r>
        <w:rPr>
          <w:rFonts w:hint="eastAsia"/>
          <w:color w:val="231F20"/>
          <w:sz w:val="24"/>
          <w:szCs w:val="24"/>
          <w:lang w:val="en-US" w:eastAsia="zh-CN"/>
        </w:rPr>
        <w:t>四</w:t>
      </w:r>
      <w:r>
        <w:rPr>
          <w:rFonts w:hint="eastAsia"/>
          <w:color w:val="231F20"/>
          <w:sz w:val="24"/>
          <w:szCs w:val="24"/>
          <w:lang w:eastAsia="zh-CN"/>
        </w:rPr>
        <w:t>）实战能力</w:t>
      </w:r>
      <w:r>
        <w:rPr>
          <w:rFonts w:hint="eastAsia"/>
          <w:color w:val="231F20"/>
          <w:sz w:val="24"/>
          <w:szCs w:val="24"/>
          <w:lang w:val="en-US" w:eastAsia="zh-CN"/>
        </w:rPr>
        <w:t>---</w:t>
      </w:r>
      <w:r>
        <w:rPr>
          <w:rFonts w:hint="eastAsia"/>
          <w:color w:val="231F20"/>
          <w:sz w:val="24"/>
          <w:szCs w:val="24"/>
          <w:lang w:eastAsia="zh-CN"/>
        </w:rPr>
        <w:t>比赛</w:t>
      </w:r>
      <w:r>
        <w:rPr>
          <w:rFonts w:hint="eastAsia"/>
          <w:color w:val="231F20"/>
          <w:sz w:val="24"/>
          <w:szCs w:val="24"/>
          <w:lang w:val="en-US" w:eastAsia="zh-CN"/>
        </w:rPr>
        <w:t>技、战术技评（20分）</w:t>
      </w:r>
    </w:p>
    <w:p w14:paraId="16D89CB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" w:line="292" w:lineRule="auto"/>
        <w:ind w:left="0" w:leftChars="0" w:right="0" w:firstLine="420" w:firstLineChars="200"/>
        <w:textAlignment w:val="auto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 xml:space="preserve"> 评分标准：考评员参照实战能力评分细则（表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），对考生动作的正确、协调、连贯程度，技、战术运用水平以及战术意识等方面进行综合评定。采用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分制评分，分数至多可到小数点后1位。</w:t>
      </w:r>
    </w:p>
    <w:p w14:paraId="51055882">
      <w:pPr>
        <w:pStyle w:val="3"/>
        <w:spacing w:before="10"/>
        <w:ind w:right="2420"/>
        <w:jc w:val="both"/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</w:pPr>
    </w:p>
    <w:p w14:paraId="4275E5E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/>
        <w:ind w:left="0" w:leftChars="0" w:right="0" w:firstLine="0" w:firstLineChars="0"/>
        <w:jc w:val="center"/>
        <w:textAlignment w:val="auto"/>
        <w:rPr>
          <w:rFonts w:hint="default" w:ascii="方正宋三简体" w:hAnsi="方正宋三简体" w:eastAsia="方正宋三简体" w:cs="方正宋三简体"/>
          <w:sz w:val="3"/>
          <w:szCs w:val="3"/>
          <w:lang w:val="en-US"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表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 xml:space="preserve">4  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比赛技、战术技评评分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表</w:t>
      </w:r>
    </w:p>
    <w:tbl>
      <w:tblPr>
        <w:tblStyle w:val="8"/>
        <w:tblW w:w="8333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9"/>
        <w:gridCol w:w="5684"/>
      </w:tblGrid>
      <w:tr w14:paraId="151453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2649" w:type="dxa"/>
            <w:tcBorders>
              <w:top w:val="single" w:color="3CB4E7" w:sz="12" w:space="0"/>
              <w:left w:val="nil"/>
              <w:bottom w:val="single" w:color="3CB4E7" w:sz="2" w:space="0"/>
              <w:right w:val="nil"/>
            </w:tcBorders>
            <w:shd w:val="clear" w:color="auto" w:fill="B7DBF4"/>
            <w:vAlign w:val="center"/>
          </w:tcPr>
          <w:p w14:paraId="674B8AE3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等级（分值范围）</w:t>
            </w:r>
          </w:p>
        </w:tc>
        <w:tc>
          <w:tcPr>
            <w:tcW w:w="5684" w:type="dxa"/>
            <w:tcBorders>
              <w:top w:val="single" w:color="3CB4E7" w:sz="12" w:space="0"/>
              <w:left w:val="nil"/>
              <w:bottom w:val="single" w:color="3CB4E7" w:sz="2" w:space="0"/>
              <w:right w:val="nil"/>
            </w:tcBorders>
            <w:shd w:val="clear" w:color="auto" w:fill="B7DBF4"/>
            <w:vAlign w:val="center"/>
          </w:tcPr>
          <w:p w14:paraId="20CEE130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评价标准</w:t>
            </w:r>
          </w:p>
        </w:tc>
      </w:tr>
      <w:tr w14:paraId="3C047B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</w:trPr>
        <w:tc>
          <w:tcPr>
            <w:tcW w:w="264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578B379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优（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分）</w:t>
            </w:r>
          </w:p>
        </w:tc>
        <w:tc>
          <w:tcPr>
            <w:tcW w:w="568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CCF5298">
            <w:pPr>
              <w:pStyle w:val="11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动作正确，协调、连贯、实效；技术运用合理、运用效果好；战术意识强、实战效果较好。</w:t>
            </w:r>
          </w:p>
        </w:tc>
      </w:tr>
      <w:tr w14:paraId="4F5C25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6BFED74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良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)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4EF3C17">
            <w:pPr>
              <w:pStyle w:val="11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动作正确，协调；技术运用较合理、运用效果较好；战术意识较强、实战效果较好。</w:t>
            </w:r>
          </w:p>
        </w:tc>
      </w:tr>
      <w:tr w14:paraId="7EA635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3420A79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中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)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EDE02C3">
            <w:pPr>
              <w:pStyle w:val="11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动作基本正确，协调；技术运用基本合理、运用效果一般；战术意识一般、效果一般。</w:t>
            </w:r>
          </w:p>
        </w:tc>
      </w:tr>
      <w:tr w14:paraId="41B4E6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264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149D3FC9"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差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分以下 )</w:t>
            </w:r>
          </w:p>
        </w:tc>
        <w:tc>
          <w:tcPr>
            <w:tcW w:w="568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639E2CCF">
            <w:pPr>
              <w:pStyle w:val="11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动作不正确，不协调；技术动作不合理、运用效果差；战术意识差、效果较差。</w:t>
            </w:r>
          </w:p>
        </w:tc>
      </w:tr>
    </w:tbl>
    <w:p w14:paraId="699DDD48">
      <w:pPr>
        <w:ind w:firstLine="630" w:firstLineChars="300"/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注：各项成绩计算到小数点后一位。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宋一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宋三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BA5932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67A6FF"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667A6FF"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33EF32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4A991"/>
    <w:multiLevelType w:val="singleLevel"/>
    <w:tmpl w:val="5784A991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iODg5OTg0MjMwOTczMDU3ZDQ2MWEyNDYyMWNiNDEifQ=="/>
  </w:docVars>
  <w:rsids>
    <w:rsidRoot w:val="00000000"/>
    <w:rsid w:val="000C77C8"/>
    <w:rsid w:val="007207B7"/>
    <w:rsid w:val="00833D64"/>
    <w:rsid w:val="00902C2A"/>
    <w:rsid w:val="016C1BD9"/>
    <w:rsid w:val="01763BCE"/>
    <w:rsid w:val="020829C9"/>
    <w:rsid w:val="02220F54"/>
    <w:rsid w:val="02353A04"/>
    <w:rsid w:val="02AE0CA7"/>
    <w:rsid w:val="02F712D3"/>
    <w:rsid w:val="03DA66DD"/>
    <w:rsid w:val="03EA3CE5"/>
    <w:rsid w:val="03F33148"/>
    <w:rsid w:val="04251A6B"/>
    <w:rsid w:val="043B2EAD"/>
    <w:rsid w:val="045F6B9B"/>
    <w:rsid w:val="049319EC"/>
    <w:rsid w:val="04F55751"/>
    <w:rsid w:val="05377B18"/>
    <w:rsid w:val="058D7738"/>
    <w:rsid w:val="05946D18"/>
    <w:rsid w:val="06041384"/>
    <w:rsid w:val="064B030F"/>
    <w:rsid w:val="068D0030"/>
    <w:rsid w:val="06BD229F"/>
    <w:rsid w:val="06D416EA"/>
    <w:rsid w:val="07A304F2"/>
    <w:rsid w:val="07E21FBD"/>
    <w:rsid w:val="081B54CF"/>
    <w:rsid w:val="086504F8"/>
    <w:rsid w:val="08670714"/>
    <w:rsid w:val="089808CE"/>
    <w:rsid w:val="09116A28"/>
    <w:rsid w:val="09D40657"/>
    <w:rsid w:val="0A252635"/>
    <w:rsid w:val="0A474359"/>
    <w:rsid w:val="0A5B6057"/>
    <w:rsid w:val="0A7B4003"/>
    <w:rsid w:val="0A9F1D46"/>
    <w:rsid w:val="0B8154D3"/>
    <w:rsid w:val="0B9335CE"/>
    <w:rsid w:val="0BCA3494"/>
    <w:rsid w:val="0BFA348E"/>
    <w:rsid w:val="0C577056"/>
    <w:rsid w:val="0C8C699B"/>
    <w:rsid w:val="0CA701B6"/>
    <w:rsid w:val="0D4A47EB"/>
    <w:rsid w:val="0DF02F5A"/>
    <w:rsid w:val="0E581448"/>
    <w:rsid w:val="0E721BC1"/>
    <w:rsid w:val="0E837ECC"/>
    <w:rsid w:val="0ECD4770"/>
    <w:rsid w:val="0F423341"/>
    <w:rsid w:val="0F6E05DA"/>
    <w:rsid w:val="0F7D081D"/>
    <w:rsid w:val="0F8F1D24"/>
    <w:rsid w:val="0FF94348"/>
    <w:rsid w:val="10433815"/>
    <w:rsid w:val="106612B1"/>
    <w:rsid w:val="116021A5"/>
    <w:rsid w:val="11DC0DD3"/>
    <w:rsid w:val="12553F89"/>
    <w:rsid w:val="12767ED2"/>
    <w:rsid w:val="1290088A"/>
    <w:rsid w:val="129F2DB5"/>
    <w:rsid w:val="14423DE3"/>
    <w:rsid w:val="14643D5A"/>
    <w:rsid w:val="14B53E1E"/>
    <w:rsid w:val="150C68CB"/>
    <w:rsid w:val="155913E5"/>
    <w:rsid w:val="162B4831"/>
    <w:rsid w:val="164C1B87"/>
    <w:rsid w:val="16DA4D70"/>
    <w:rsid w:val="17397720"/>
    <w:rsid w:val="17F11DA8"/>
    <w:rsid w:val="182E0104"/>
    <w:rsid w:val="183218BE"/>
    <w:rsid w:val="18381785"/>
    <w:rsid w:val="183B0173"/>
    <w:rsid w:val="1881312C"/>
    <w:rsid w:val="18821AE5"/>
    <w:rsid w:val="188E6DCA"/>
    <w:rsid w:val="19834C82"/>
    <w:rsid w:val="199C5D44"/>
    <w:rsid w:val="19E42719"/>
    <w:rsid w:val="1A052F36"/>
    <w:rsid w:val="1B66115F"/>
    <w:rsid w:val="1B8628BE"/>
    <w:rsid w:val="1BC2272A"/>
    <w:rsid w:val="1C6B5FFE"/>
    <w:rsid w:val="1CA10E81"/>
    <w:rsid w:val="1CC655B2"/>
    <w:rsid w:val="1DFF742A"/>
    <w:rsid w:val="1E360515"/>
    <w:rsid w:val="1E6571A2"/>
    <w:rsid w:val="1E7948A6"/>
    <w:rsid w:val="1E99509E"/>
    <w:rsid w:val="1EA06DFE"/>
    <w:rsid w:val="1EB1474D"/>
    <w:rsid w:val="1EC122EC"/>
    <w:rsid w:val="1ED82541"/>
    <w:rsid w:val="1F525822"/>
    <w:rsid w:val="20B63B8F"/>
    <w:rsid w:val="20C5666E"/>
    <w:rsid w:val="2108324D"/>
    <w:rsid w:val="215D7C97"/>
    <w:rsid w:val="216E6218"/>
    <w:rsid w:val="21747CD2"/>
    <w:rsid w:val="21A8437D"/>
    <w:rsid w:val="22543660"/>
    <w:rsid w:val="229677D4"/>
    <w:rsid w:val="229B4DEB"/>
    <w:rsid w:val="22C02AA3"/>
    <w:rsid w:val="23865A9B"/>
    <w:rsid w:val="2409047A"/>
    <w:rsid w:val="241E3F25"/>
    <w:rsid w:val="2429086F"/>
    <w:rsid w:val="24CC3981"/>
    <w:rsid w:val="24F904EE"/>
    <w:rsid w:val="24FE4E34"/>
    <w:rsid w:val="250255F5"/>
    <w:rsid w:val="258F5F3B"/>
    <w:rsid w:val="25D0070A"/>
    <w:rsid w:val="2601765A"/>
    <w:rsid w:val="26061115"/>
    <w:rsid w:val="261958FF"/>
    <w:rsid w:val="26526108"/>
    <w:rsid w:val="26B33DC0"/>
    <w:rsid w:val="271D3AB4"/>
    <w:rsid w:val="27566865"/>
    <w:rsid w:val="279A1B15"/>
    <w:rsid w:val="29174F76"/>
    <w:rsid w:val="294066EC"/>
    <w:rsid w:val="294A756A"/>
    <w:rsid w:val="2A336250"/>
    <w:rsid w:val="2A67567F"/>
    <w:rsid w:val="2AC704BD"/>
    <w:rsid w:val="2B0C3A0D"/>
    <w:rsid w:val="2B2478C0"/>
    <w:rsid w:val="2B2838DB"/>
    <w:rsid w:val="2B7A5A32"/>
    <w:rsid w:val="2BB63320"/>
    <w:rsid w:val="2CA12C26"/>
    <w:rsid w:val="2CC87124"/>
    <w:rsid w:val="2D3B0E27"/>
    <w:rsid w:val="2D776454"/>
    <w:rsid w:val="2DDB4C35"/>
    <w:rsid w:val="2E304F81"/>
    <w:rsid w:val="2EAD79B7"/>
    <w:rsid w:val="2EF53AD4"/>
    <w:rsid w:val="2EF95717"/>
    <w:rsid w:val="2F566C69"/>
    <w:rsid w:val="2F9B5F0A"/>
    <w:rsid w:val="2FB21B3B"/>
    <w:rsid w:val="30202DD3"/>
    <w:rsid w:val="30354AD0"/>
    <w:rsid w:val="30FD7482"/>
    <w:rsid w:val="311961A0"/>
    <w:rsid w:val="3166515D"/>
    <w:rsid w:val="31DE2F46"/>
    <w:rsid w:val="31EF6F01"/>
    <w:rsid w:val="325E6002"/>
    <w:rsid w:val="327258F2"/>
    <w:rsid w:val="32D360DD"/>
    <w:rsid w:val="32E37E75"/>
    <w:rsid w:val="32F02F31"/>
    <w:rsid w:val="331A3728"/>
    <w:rsid w:val="3321133C"/>
    <w:rsid w:val="33953AD8"/>
    <w:rsid w:val="33A06705"/>
    <w:rsid w:val="341D3555"/>
    <w:rsid w:val="349D0E96"/>
    <w:rsid w:val="34B708A6"/>
    <w:rsid w:val="3502519D"/>
    <w:rsid w:val="351F18AB"/>
    <w:rsid w:val="359202CF"/>
    <w:rsid w:val="35BF4E3C"/>
    <w:rsid w:val="35CB558F"/>
    <w:rsid w:val="35E86141"/>
    <w:rsid w:val="35EB3E83"/>
    <w:rsid w:val="369C1205"/>
    <w:rsid w:val="37111AD6"/>
    <w:rsid w:val="376B702A"/>
    <w:rsid w:val="377A6635"/>
    <w:rsid w:val="380A0476"/>
    <w:rsid w:val="38DA3538"/>
    <w:rsid w:val="395979D9"/>
    <w:rsid w:val="39DC5FBD"/>
    <w:rsid w:val="3A125E82"/>
    <w:rsid w:val="3A9357F1"/>
    <w:rsid w:val="3A982D2A"/>
    <w:rsid w:val="3AA36ADA"/>
    <w:rsid w:val="3AB82406"/>
    <w:rsid w:val="3AC058DE"/>
    <w:rsid w:val="3ADF3382"/>
    <w:rsid w:val="3B0C4680"/>
    <w:rsid w:val="3B2036FB"/>
    <w:rsid w:val="3B3F3146"/>
    <w:rsid w:val="3BFF3DFB"/>
    <w:rsid w:val="3C2679C3"/>
    <w:rsid w:val="3C773BE9"/>
    <w:rsid w:val="3CCA424B"/>
    <w:rsid w:val="3D4A5933"/>
    <w:rsid w:val="3D7A6218"/>
    <w:rsid w:val="3DFC5388"/>
    <w:rsid w:val="3E554590"/>
    <w:rsid w:val="3EEC53DE"/>
    <w:rsid w:val="3EEC6CA2"/>
    <w:rsid w:val="3F036B39"/>
    <w:rsid w:val="3F147FA7"/>
    <w:rsid w:val="3FA94547"/>
    <w:rsid w:val="401B4686"/>
    <w:rsid w:val="41282A04"/>
    <w:rsid w:val="412A1D04"/>
    <w:rsid w:val="412F1803"/>
    <w:rsid w:val="41870F04"/>
    <w:rsid w:val="41D659E7"/>
    <w:rsid w:val="42114C71"/>
    <w:rsid w:val="423C5D17"/>
    <w:rsid w:val="42786A9F"/>
    <w:rsid w:val="42FC147E"/>
    <w:rsid w:val="43A0005B"/>
    <w:rsid w:val="43C070AC"/>
    <w:rsid w:val="44466E54"/>
    <w:rsid w:val="44B02520"/>
    <w:rsid w:val="44DC1567"/>
    <w:rsid w:val="452D11C3"/>
    <w:rsid w:val="457C0654"/>
    <w:rsid w:val="45F63444"/>
    <w:rsid w:val="463158E2"/>
    <w:rsid w:val="46454EEA"/>
    <w:rsid w:val="469A3487"/>
    <w:rsid w:val="46E64303"/>
    <w:rsid w:val="47083EAE"/>
    <w:rsid w:val="47961EA1"/>
    <w:rsid w:val="480716E7"/>
    <w:rsid w:val="484F5B3F"/>
    <w:rsid w:val="48BB14B4"/>
    <w:rsid w:val="49415E3C"/>
    <w:rsid w:val="49555444"/>
    <w:rsid w:val="49831FB1"/>
    <w:rsid w:val="49867CF3"/>
    <w:rsid w:val="498C00E6"/>
    <w:rsid w:val="499612EB"/>
    <w:rsid w:val="4AAD305D"/>
    <w:rsid w:val="4AE21420"/>
    <w:rsid w:val="4AFE33E3"/>
    <w:rsid w:val="4B9E7576"/>
    <w:rsid w:val="4BF8374A"/>
    <w:rsid w:val="4BF90C50"/>
    <w:rsid w:val="4C7402D7"/>
    <w:rsid w:val="4C9B5CBD"/>
    <w:rsid w:val="4D13189E"/>
    <w:rsid w:val="4D1A70D0"/>
    <w:rsid w:val="4D3143A6"/>
    <w:rsid w:val="4D8003B6"/>
    <w:rsid w:val="4DA93FB0"/>
    <w:rsid w:val="4E6B0444"/>
    <w:rsid w:val="4E7A43DC"/>
    <w:rsid w:val="4EA50C1B"/>
    <w:rsid w:val="4EFD45B3"/>
    <w:rsid w:val="4F363B51"/>
    <w:rsid w:val="4F610FE6"/>
    <w:rsid w:val="4F8107B5"/>
    <w:rsid w:val="4FD277EE"/>
    <w:rsid w:val="4FDA48F5"/>
    <w:rsid w:val="4FFC185E"/>
    <w:rsid w:val="50446212"/>
    <w:rsid w:val="504D156B"/>
    <w:rsid w:val="505B016E"/>
    <w:rsid w:val="506A211C"/>
    <w:rsid w:val="507765E7"/>
    <w:rsid w:val="509961B9"/>
    <w:rsid w:val="50A70C7B"/>
    <w:rsid w:val="51DC0DF8"/>
    <w:rsid w:val="522E717A"/>
    <w:rsid w:val="523C1897"/>
    <w:rsid w:val="52E31D12"/>
    <w:rsid w:val="538B5ADA"/>
    <w:rsid w:val="541D312A"/>
    <w:rsid w:val="55284354"/>
    <w:rsid w:val="55DA73FC"/>
    <w:rsid w:val="55F561E4"/>
    <w:rsid w:val="56021A16"/>
    <w:rsid w:val="56154019"/>
    <w:rsid w:val="56301712"/>
    <w:rsid w:val="565D1DDC"/>
    <w:rsid w:val="56701B0F"/>
    <w:rsid w:val="5697353F"/>
    <w:rsid w:val="56ED13B1"/>
    <w:rsid w:val="570F50B3"/>
    <w:rsid w:val="579E2DFB"/>
    <w:rsid w:val="57CF0AB7"/>
    <w:rsid w:val="57FD07F3"/>
    <w:rsid w:val="583322C7"/>
    <w:rsid w:val="5838665C"/>
    <w:rsid w:val="584B00F8"/>
    <w:rsid w:val="58EA204C"/>
    <w:rsid w:val="59044790"/>
    <w:rsid w:val="594D6BE3"/>
    <w:rsid w:val="59722042"/>
    <w:rsid w:val="599B50E7"/>
    <w:rsid w:val="5A5665AF"/>
    <w:rsid w:val="5AAC3332"/>
    <w:rsid w:val="5AAC6006"/>
    <w:rsid w:val="5AE605F2"/>
    <w:rsid w:val="5AF80325"/>
    <w:rsid w:val="5B394AC4"/>
    <w:rsid w:val="5B7406F2"/>
    <w:rsid w:val="5CAC13C7"/>
    <w:rsid w:val="5D790D1C"/>
    <w:rsid w:val="5D9458F7"/>
    <w:rsid w:val="5DA76C3A"/>
    <w:rsid w:val="5DA9702B"/>
    <w:rsid w:val="5DB6074F"/>
    <w:rsid w:val="5E4333C7"/>
    <w:rsid w:val="5E9071F2"/>
    <w:rsid w:val="5E95311C"/>
    <w:rsid w:val="5EB75618"/>
    <w:rsid w:val="5F125E59"/>
    <w:rsid w:val="60011D20"/>
    <w:rsid w:val="600F5E2A"/>
    <w:rsid w:val="601103E2"/>
    <w:rsid w:val="60783C30"/>
    <w:rsid w:val="61581B1D"/>
    <w:rsid w:val="616703F0"/>
    <w:rsid w:val="62190896"/>
    <w:rsid w:val="62426A55"/>
    <w:rsid w:val="62C94D2E"/>
    <w:rsid w:val="62CA07F9"/>
    <w:rsid w:val="632B74E9"/>
    <w:rsid w:val="63570948"/>
    <w:rsid w:val="63A159FD"/>
    <w:rsid w:val="63BA6ABF"/>
    <w:rsid w:val="64220960"/>
    <w:rsid w:val="64C574CA"/>
    <w:rsid w:val="64D911C7"/>
    <w:rsid w:val="65295CAB"/>
    <w:rsid w:val="6546685C"/>
    <w:rsid w:val="65810C12"/>
    <w:rsid w:val="65B33C5C"/>
    <w:rsid w:val="65F52031"/>
    <w:rsid w:val="66B75538"/>
    <w:rsid w:val="67C3705D"/>
    <w:rsid w:val="67EC1211"/>
    <w:rsid w:val="67FF0F45"/>
    <w:rsid w:val="68060525"/>
    <w:rsid w:val="68460921"/>
    <w:rsid w:val="688B75AC"/>
    <w:rsid w:val="693D1D24"/>
    <w:rsid w:val="696A599F"/>
    <w:rsid w:val="69D00DEB"/>
    <w:rsid w:val="6B39651C"/>
    <w:rsid w:val="6B412801"/>
    <w:rsid w:val="6B5415A7"/>
    <w:rsid w:val="6BC71D79"/>
    <w:rsid w:val="6BEF3667"/>
    <w:rsid w:val="6C516C23"/>
    <w:rsid w:val="6CC664D5"/>
    <w:rsid w:val="6D4B1F09"/>
    <w:rsid w:val="6E76039E"/>
    <w:rsid w:val="6F60676D"/>
    <w:rsid w:val="71445C1A"/>
    <w:rsid w:val="72DD6326"/>
    <w:rsid w:val="73117D7E"/>
    <w:rsid w:val="73A0667C"/>
    <w:rsid w:val="73BB0416"/>
    <w:rsid w:val="74052A1B"/>
    <w:rsid w:val="74A94712"/>
    <w:rsid w:val="74C16CDF"/>
    <w:rsid w:val="752B5127"/>
    <w:rsid w:val="753541F8"/>
    <w:rsid w:val="762D1373"/>
    <w:rsid w:val="764121AA"/>
    <w:rsid w:val="773C362E"/>
    <w:rsid w:val="77440722"/>
    <w:rsid w:val="77DC095A"/>
    <w:rsid w:val="78B6280F"/>
    <w:rsid w:val="78FB12B4"/>
    <w:rsid w:val="796D6E2F"/>
    <w:rsid w:val="79BD47BC"/>
    <w:rsid w:val="79E075B8"/>
    <w:rsid w:val="7A576BEB"/>
    <w:rsid w:val="7A9337FA"/>
    <w:rsid w:val="7ACE2783"/>
    <w:rsid w:val="7AE24638"/>
    <w:rsid w:val="7BA85E79"/>
    <w:rsid w:val="7BAD0F8C"/>
    <w:rsid w:val="7CCD2F68"/>
    <w:rsid w:val="7CCE77E1"/>
    <w:rsid w:val="7D4576AF"/>
    <w:rsid w:val="7DCF617C"/>
    <w:rsid w:val="7E7A711F"/>
    <w:rsid w:val="7ECA59B1"/>
    <w:rsid w:val="7F7F7BBE"/>
    <w:rsid w:val="7FE5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0"/>
    <w:pPr>
      <w:spacing w:before="72"/>
      <w:ind w:left="507"/>
    </w:pPr>
    <w:rPr>
      <w:rFonts w:ascii="方正宋一简体" w:hAnsi="方正宋一简体" w:eastAsia="方正宋一简体"/>
      <w:sz w:val="20"/>
      <w:szCs w:val="20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color w:val="000000"/>
      <w:kern w:val="0"/>
      <w:sz w:val="24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0">
    <w:name w:val="标题 31"/>
    <w:basedOn w:val="1"/>
    <w:autoRedefine/>
    <w:qFormat/>
    <w:uiPriority w:val="1"/>
    <w:pPr>
      <w:ind w:left="500"/>
      <w:outlineLvl w:val="3"/>
    </w:pPr>
    <w:rPr>
      <w:rFonts w:ascii="Arial Unicode MS" w:hAnsi="Arial Unicode MS" w:eastAsia="Arial Unicode MS"/>
      <w:sz w:val="28"/>
      <w:szCs w:val="28"/>
    </w:rPr>
  </w:style>
  <w:style w:type="paragraph" w:customStyle="1" w:styleId="11">
    <w:name w:val="Table Paragraph"/>
    <w:basedOn w:val="1"/>
    <w:qFormat/>
    <w:uiPriority w:val="1"/>
  </w:style>
  <w:style w:type="paragraph" w:customStyle="1" w:styleId="12">
    <w:name w:val="标题 41"/>
    <w:basedOn w:val="1"/>
    <w:autoRedefine/>
    <w:qFormat/>
    <w:uiPriority w:val="1"/>
    <w:pPr>
      <w:ind w:left="444"/>
      <w:outlineLvl w:val="4"/>
    </w:pPr>
    <w:rPr>
      <w:rFonts w:ascii="Arial Unicode MS" w:hAnsi="Arial Unicode MS" w:eastAsia="Arial Unicode M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1818</Words>
  <Characters>2033</Characters>
  <Lines>0</Lines>
  <Paragraphs>0</Paragraphs>
  <TotalTime>33</TotalTime>
  <ScaleCrop>false</ScaleCrop>
  <LinksUpToDate>false</LinksUpToDate>
  <CharactersWithSpaces>2122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谢明正</cp:lastModifiedBy>
  <cp:lastPrinted>2023-03-15T00:32:00Z</cp:lastPrinted>
  <dcterms:modified xsi:type="dcterms:W3CDTF">2025-02-20T03:24:43Z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B96DF3374DF14802B6A33E6272F01461_13</vt:lpwstr>
  </property>
  <property fmtid="{D5CDD505-2E9C-101B-9397-08002B2CF9AE}" pid="4" name="KSOTemplateDocerSaveRecord">
    <vt:lpwstr>eyJoZGlkIjoiOWNlODM0NjdkMDM4MDYzNzVhZTkyZTllNzhhMjk0NjkiLCJ1c2VySWQiOiI0MDkzNjA1MDcifQ==</vt:lpwstr>
  </property>
</Properties>
</file>