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AE267">
      <w:pPr>
        <w:pStyle w:val="3"/>
        <w:widowControl/>
        <w:shd w:val="clear" w:color="auto" w:fill="FFFFFF"/>
        <w:spacing w:beforeAutospacing="0" w:afterAutospacing="0" w:line="396" w:lineRule="atLeast"/>
        <w:ind w:firstLine="680" w:firstLineChars="200"/>
        <w:jc w:val="center"/>
        <w:rPr>
          <w:rFonts w:ascii="微软雅黑" w:hAnsi="微软雅黑" w:eastAsia="微软雅黑" w:cs="微软雅黑"/>
          <w:color w:val="auto"/>
          <w:sz w:val="15"/>
          <w:szCs w:val="15"/>
        </w:rPr>
      </w:pPr>
      <w:r>
        <w:rPr>
          <w:rFonts w:hint="eastAsia" w:ascii="黑体" w:hAnsi="宋体" w:eastAsia="黑体" w:cs="黑体"/>
          <w:color w:val="auto"/>
          <w:sz w:val="34"/>
          <w:szCs w:val="34"/>
          <w:shd w:val="clear" w:color="auto" w:fill="FFFFFF"/>
        </w:rPr>
        <w:t>《管理学》考试大纲</w:t>
      </w:r>
    </w:p>
    <w:p w14:paraId="62CC7B9B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黑体" w:hAnsi="宋体" w:eastAsia="黑体" w:cs="黑体"/>
          <w:color w:val="auto"/>
          <w:shd w:val="clear" w:color="auto" w:fill="FFFFFF"/>
        </w:rPr>
        <w:t>适用专业：</w:t>
      </w:r>
      <w:r>
        <w:rPr>
          <w:rFonts w:hint="eastAsia" w:ascii="宋体" w:hAnsi="宋体" w:eastAsia="宋体" w:cs="宋体"/>
          <w:color w:val="auto"/>
          <w:shd w:val="clear" w:color="auto" w:fill="FFFFFF"/>
        </w:rPr>
        <w:t>市场营销</w:t>
      </w:r>
    </w:p>
    <w:p w14:paraId="59AEE29E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黑体" w:hAnsi="宋体" w:eastAsia="黑体" w:cs="黑体"/>
          <w:color w:val="auto"/>
          <w:shd w:val="clear" w:color="auto" w:fill="FFFFFF"/>
        </w:rPr>
        <w:t>考试方式：</w:t>
      </w:r>
      <w:r>
        <w:rPr>
          <w:rFonts w:hint="eastAsia" w:ascii="宋体" w:hAnsi="宋体" w:eastAsia="宋体" w:cs="宋体"/>
          <w:color w:val="auto"/>
          <w:shd w:val="clear" w:color="auto" w:fill="FFFFFF"/>
        </w:rPr>
        <w:t>笔试闭卷</w:t>
      </w:r>
    </w:p>
    <w:p w14:paraId="2538A429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黑体" w:hAnsi="宋体" w:eastAsia="黑体" w:cs="黑体"/>
          <w:color w:val="auto"/>
          <w:shd w:val="clear" w:color="auto" w:fill="FFFFFF"/>
        </w:rPr>
        <w:t>额外携带的考试工具：</w:t>
      </w:r>
      <w:r>
        <w:rPr>
          <w:rFonts w:hint="eastAsia" w:ascii="宋体" w:hAnsi="宋体" w:eastAsia="宋体" w:cs="宋体"/>
          <w:color w:val="auto"/>
          <w:shd w:val="clear" w:color="auto" w:fill="FFFFFF"/>
        </w:rPr>
        <w:t>无</w:t>
      </w:r>
    </w:p>
    <w:p w14:paraId="28925082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bookmarkStart w:id="0" w:name="_GoBack"/>
      <w:bookmarkEnd w:id="0"/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  <w:t>一、课程简介</w:t>
      </w:r>
    </w:p>
    <w:p w14:paraId="55823554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管理学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是研究现代管理活动的基本规律、原理和方法的学科。本课程以马克思主义理论为指导，系统阐述管理学的基本理论、基本原理和基本方法，重点探讨管理职能（计划、组织、领导、控制、创新）及其应用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。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本大纲内容既注重理论体系的完整性，又突出实践应用，强调理论联系实际，培养考生分析和解决实际管理问题的能力。</w:t>
      </w:r>
    </w:p>
    <w:p w14:paraId="4D104BE4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  <w:t>二、考试内容及要求</w:t>
      </w:r>
    </w:p>
    <w:p w14:paraId="053C37D5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第一篇 《管理学》总论</w:t>
      </w:r>
    </w:p>
    <w:p w14:paraId="72369D39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343A9269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管理的概念,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本质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,基本特征；西方管理思想的代表人物；管理活动的基本职能；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管理的基本原理；管理理论的发展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460FA5FA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615F4DDF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1、了解人类活动的特点与管理的必然性以及管理学的研究方法。</w:t>
      </w:r>
    </w:p>
    <w:p w14:paraId="1B0ED4FE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2、掌握管理的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内涵与本质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。</w:t>
      </w:r>
    </w:p>
    <w:p w14:paraId="203B4CFD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3、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熟悉管理思想的发展及发展趋势。</w:t>
      </w:r>
    </w:p>
    <w:p w14:paraId="1E054BBF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4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、掌握管理二重性的基本内涵,掌握管理活动的基本职能。</w:t>
      </w:r>
    </w:p>
    <w:p w14:paraId="4C379CF4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5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、掌握管理的主要基本原理。</w:t>
      </w:r>
    </w:p>
    <w:p w14:paraId="0C8D09D2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第二篇  决 策</w:t>
      </w:r>
    </w:p>
    <w:p w14:paraId="19BE7437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3A7D1AED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决策的理论与方法；计划的含义、作用与种类；计划工作的程序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和方法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6C7ED1BC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5840F8C1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1、了解战略计划和企业资源计划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4F93EDD6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2、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掌握决策的概念、类型、过程及常用方法，能够运用决策方法分析实际问题。</w:t>
      </w:r>
    </w:p>
    <w:p w14:paraId="79180FE4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3、掌握计划的含义、作用与种类，熟悉计划工作的程序。掌握计划的各种实施方法。</w:t>
      </w:r>
    </w:p>
    <w:p w14:paraId="2B26A646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第三篇 组织</w:t>
      </w:r>
    </w:p>
    <w:p w14:paraId="04C59C6E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2C0EE900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default" w:ascii="微软雅黑" w:hAnsi="微软雅黑" w:eastAsia="微软雅黑" w:cs="微软雅黑"/>
          <w:color w:val="auto"/>
          <w:lang w:val="en-US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管理幅度与管理层次；集权与分权；正式组织与非正式组织；直线与参谋；组织设计的依据及原则；常见的组织结构；人员配备的任务和原则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；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人员选聘来源、标准；人事考评要素、方法、工作程序；人员培训的任务、方法。</w:t>
      </w:r>
    </w:p>
    <w:p w14:paraId="530D71F3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0833581C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1、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掌握组织的有关概念，掌握常见的组织结构。</w:t>
      </w:r>
    </w:p>
    <w:p w14:paraId="2B95C6DC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2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、理解组织设计的依据及原则。</w:t>
      </w:r>
    </w:p>
    <w:p w14:paraId="45D96605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3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、理解人员配备的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实际应用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56B0A9C2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第四篇 领导</w:t>
      </w:r>
    </w:p>
    <w:p w14:paraId="526D5224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46F500AD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领导与管理；领导权利的构成；X理论与Y理论；有关领导风格的理论描述；权变理论；激励；需求理论和双因素理论；目标设置理论、强化理论和公平理论；沟通。</w:t>
      </w:r>
    </w:p>
    <w:p w14:paraId="4027BF45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hint="eastAsia" w:ascii="微软雅黑" w:hAnsi="微软雅黑" w:eastAsia="仿宋_GB2312" w:cs="微软雅黑"/>
          <w:color w:val="auto"/>
          <w:lang w:val="en-US" w:eastAsia="zh-CN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1AD489E3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1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、理解领导权利的构成，理解人性假设与领导风格。</w:t>
      </w:r>
    </w:p>
    <w:p w14:paraId="66BA98F6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2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、全面掌握激励理论，掌握与领导相关的概念。</w:t>
      </w:r>
    </w:p>
    <w:p w14:paraId="022141A9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3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、了解组织中的沟通过程与渠道以及沟通形态。</w:t>
      </w:r>
    </w:p>
    <w:p w14:paraId="67C46396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</w:p>
    <w:p w14:paraId="1F8B0ADB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第五篇 控制</w:t>
      </w:r>
    </w:p>
    <w:p w14:paraId="342C4635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218E2025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default" w:ascii="微软雅黑" w:hAnsi="微软雅黑" w:eastAsia="仿宋_GB2312" w:cs="微软雅黑"/>
          <w:color w:val="auto"/>
          <w:lang w:val="en-US" w:eastAsia="zh-CN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控制的定义；控制的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内涵、原则、类型与过程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；前馈控制；同期控制；反馈控制；制定标准；衡量工作；鉴定偏差与矫正偏差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；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风险管理。</w:t>
      </w:r>
    </w:p>
    <w:p w14:paraId="6473EA74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4DF65B20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1、了解各种制定标准的方法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7F12C58B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2、理解各种纠偏措施，掌握有效控制的基本原则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0E316D6B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3、掌握控制的过程与类型。</w:t>
      </w:r>
    </w:p>
    <w:p w14:paraId="2E4157E3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4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、理解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风险管理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的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实际应用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193F6888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jc w:val="center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第六篇 创新</w:t>
      </w:r>
    </w:p>
    <w:p w14:paraId="3099E7E6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考试知识点</w:t>
      </w:r>
    </w:p>
    <w:p w14:paraId="1B6228C4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创新及其作用；创新的基本内容；创新的过程和组织；企业技术创新；组织创新。</w:t>
      </w:r>
    </w:p>
    <w:p w14:paraId="1FC2A240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（二）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考核要求</w:t>
      </w:r>
    </w:p>
    <w:p w14:paraId="08D729D3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1、了解价值创新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416C3C73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2、理解技术创新与组织创新的内涵及对企业的贡献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。</w:t>
      </w:r>
    </w:p>
    <w:p w14:paraId="7057D57A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3、掌握管理的创新职能及其基本内容，掌握变革的概念与方法。</w:t>
      </w:r>
    </w:p>
    <w:p w14:paraId="74A59105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hint="eastAsia" w:ascii="微软雅黑" w:hAnsi="微软雅黑" w:eastAsia="宋体" w:cs="微软雅黑"/>
          <w:color w:val="auto"/>
          <w:lang w:eastAsia="zh-CN"/>
        </w:rPr>
      </w:pPr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  <w:t>三、基本题型及</w:t>
      </w:r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  <w:lang w:val="en-US" w:eastAsia="zh-CN"/>
        </w:rPr>
        <w:t>构成</w:t>
      </w:r>
    </w:p>
    <w:p w14:paraId="0EB955A5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</w:pP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（一）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题型及分数比例</w:t>
      </w:r>
    </w:p>
    <w:p w14:paraId="6CD7BE3E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 xml:space="preserve">选择题30% </w:t>
      </w:r>
    </w:p>
    <w:p w14:paraId="23446BA9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判断题10%</w:t>
      </w:r>
    </w:p>
    <w:p w14:paraId="2166C98A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名词解释题15%       </w:t>
      </w:r>
    </w:p>
    <w:p w14:paraId="54D4A8C8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简答题25%</w:t>
      </w:r>
    </w:p>
    <w:p w14:paraId="7D5BEF79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案例分析题20%</w:t>
      </w:r>
    </w:p>
    <w:p w14:paraId="4AFEE799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</w:pP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（</w:t>
      </w:r>
      <w:r>
        <w:rPr>
          <w:rStyle w:val="6"/>
          <w:rFonts w:hint="eastAsia" w:ascii="仿宋_GB2312" w:hAnsi="微软雅黑" w:eastAsia="仿宋_GB2312" w:cs="仿宋_GB2312"/>
          <w:bCs/>
          <w:color w:val="auto"/>
          <w:shd w:val="clear" w:color="auto" w:fill="FFFFFF"/>
        </w:rPr>
        <w:t>二</w:t>
      </w:r>
      <w:r>
        <w:rPr>
          <w:rStyle w:val="6"/>
          <w:rFonts w:ascii="仿宋_GB2312" w:hAnsi="微软雅黑" w:eastAsia="仿宋_GB2312" w:cs="仿宋_GB2312"/>
          <w:bCs/>
          <w:color w:val="auto"/>
          <w:shd w:val="clear" w:color="auto" w:fill="FFFFFF"/>
        </w:rPr>
        <w:t>）试题难易及分数比例</w:t>
      </w:r>
    </w:p>
    <w:p w14:paraId="3007AF20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微软雅黑" w:hAnsi="微软雅黑" w:eastAsia="微软雅黑" w:cs="微软雅黑"/>
          <w:color w:val="auto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一般50%    综合40%    较难10%</w:t>
      </w:r>
    </w:p>
    <w:p w14:paraId="31D63099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Fonts w:ascii="微软雅黑" w:hAnsi="微软雅黑" w:eastAsia="微软雅黑" w:cs="微软雅黑"/>
          <w:color w:val="auto"/>
        </w:rPr>
      </w:pPr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  <w:t>四、选用教材及参考书</w:t>
      </w:r>
    </w:p>
    <w:p w14:paraId="01132C7C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《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管理学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》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编写组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：《管理学》，高等教育出版社（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val="en-US" w:eastAsia="zh-CN"/>
        </w:rPr>
        <w:t>马克思主义理论研究和建设工程重点教材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）</w:t>
      </w:r>
    </w:p>
    <w:p w14:paraId="1B7905F4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</w:p>
    <w:p w14:paraId="7A9A248C">
      <w:pPr>
        <w:pStyle w:val="3"/>
        <w:widowControl/>
        <w:shd w:val="clear" w:color="auto" w:fill="FFFFFF"/>
        <w:spacing w:beforeAutospacing="0" w:afterAutospacing="0" w:line="400" w:lineRule="exact"/>
        <w:ind w:firstLine="482" w:firstLineChars="200"/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Cs/>
          <w:color w:val="auto"/>
          <w:shd w:val="clear" w:color="auto" w:fill="FFFFFF"/>
        </w:rPr>
        <w:t>注：</w:t>
      </w:r>
    </w:p>
    <w:p w14:paraId="2F5DCC2A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ascii="仿宋_GB2312" w:hAnsi="微软雅黑" w:eastAsia="仿宋_GB2312" w:cs="仿宋_GB2312"/>
          <w:color w:val="auto"/>
          <w:shd w:val="clear" w:color="auto" w:fill="FFFFFF"/>
        </w:rPr>
      </w:pPr>
      <w:r>
        <w:rPr>
          <w:rFonts w:ascii="仿宋_GB2312" w:hAnsi="微软雅黑" w:eastAsia="仿宋_GB2312" w:cs="仿宋_GB2312"/>
          <w:color w:val="auto"/>
          <w:shd w:val="clear" w:color="auto" w:fill="FFFFFF"/>
        </w:rPr>
        <w:t>以上考试大纲仅供参考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，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</w:rPr>
        <w:t>具体题型和分值可能会根据实际情况进行适当调整</w:t>
      </w:r>
      <w:r>
        <w:rPr>
          <w:rFonts w:hint="eastAsia" w:ascii="仿宋_GB2312" w:hAnsi="微软雅黑" w:eastAsia="仿宋_GB2312" w:cs="仿宋_GB2312"/>
          <w:color w:val="auto"/>
          <w:shd w:val="clear" w:color="auto" w:fill="FFFFFF"/>
          <w:lang w:eastAsia="zh-CN"/>
        </w:rPr>
        <w:t>，</w:t>
      </w:r>
      <w:r>
        <w:rPr>
          <w:rFonts w:ascii="仿宋_GB2312" w:hAnsi="微软雅黑" w:eastAsia="仿宋_GB2312" w:cs="仿宋_GB2312"/>
          <w:color w:val="auto"/>
          <w:shd w:val="clear" w:color="auto" w:fill="FFFFFF"/>
        </w:rPr>
        <w:t>建议考生认真复习教材。</w:t>
      </w:r>
    </w:p>
    <w:p w14:paraId="4D659FE0">
      <w:pPr>
        <w:pStyle w:val="3"/>
        <w:widowControl/>
        <w:shd w:val="clear" w:color="auto" w:fill="FFFFFF"/>
        <w:spacing w:beforeAutospacing="0" w:afterAutospacing="0" w:line="400" w:lineRule="exact"/>
        <w:ind w:firstLine="480" w:firstLineChars="200"/>
        <w:rPr>
          <w:rFonts w:hint="eastAsia" w:ascii="微软雅黑" w:hAnsi="微软雅黑" w:eastAsia="微软雅黑" w:cs="微软雅黑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MzU3MmY5MjJkZTUyOWQyYmM3N2VjOTFlYTY4ZDAifQ=="/>
  </w:docVars>
  <w:rsids>
    <w:rsidRoot w:val="00E3608A"/>
    <w:rsid w:val="0091742F"/>
    <w:rsid w:val="00E3608A"/>
    <w:rsid w:val="00F33D25"/>
    <w:rsid w:val="092A5217"/>
    <w:rsid w:val="0E4614D0"/>
    <w:rsid w:val="114C47C1"/>
    <w:rsid w:val="239A1546"/>
    <w:rsid w:val="3F8601B4"/>
    <w:rsid w:val="42845DF0"/>
    <w:rsid w:val="4CD82614"/>
    <w:rsid w:val="592504F3"/>
    <w:rsid w:val="5BE974C5"/>
    <w:rsid w:val="5E8D6D85"/>
    <w:rsid w:val="64AF414A"/>
    <w:rsid w:val="6FFB25FE"/>
    <w:rsid w:val="76897270"/>
    <w:rsid w:val="7CED0700"/>
    <w:rsid w:val="7DF4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1286</Words>
  <Characters>1304</Characters>
  <Lines>9</Lines>
  <Paragraphs>2</Paragraphs>
  <TotalTime>2</TotalTime>
  <ScaleCrop>false</ScaleCrop>
  <LinksUpToDate>false</LinksUpToDate>
  <CharactersWithSpaces>1328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2023-02-13T02:01:00Z</dcterms:created>
  <dc:creator>tpf</dc:creator>
  <cp:lastModifiedBy>唐鹏飞</cp:lastModifiedBy>
  <dcterms:modified xsi:type="dcterms:W3CDTF">2025-03-05T08:12:10Z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6931379B22264C759349857CE6BB7B7C</vt:lpwstr>
  </property>
  <property fmtid="{D5CDD505-2E9C-101B-9397-08002B2CF9AE}" pid="4" name="KSOTemplateDocerSaveRecord">
    <vt:lpwstr>eyJoZGlkIjoiZmMyMzU3MmY5MjJkZTUyOWQyYmM3N2VjOTFlYTY4ZDAiLCJ1c2VySWQiOiI0MjA1MDU1MzMifQ==</vt:lpwstr>
  </property>
</Properties>
</file>